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8CC2" w14:textId="7058B2D5" w:rsidR="003443BE" w:rsidRDefault="003443BE" w:rsidP="003443BE">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w:t>
      </w:r>
      <w:r w:rsidR="00FB2DEA">
        <w:rPr>
          <w:b/>
          <w:noProof/>
          <w:sz w:val="24"/>
        </w:rPr>
        <w:t>7</w:t>
      </w:r>
      <w:r>
        <w:rPr>
          <w:b/>
          <w:i/>
          <w:noProof/>
          <w:sz w:val="28"/>
        </w:rPr>
        <w:tab/>
      </w:r>
      <w:r w:rsidR="000F67AF" w:rsidRPr="000F67AF">
        <w:rPr>
          <w:b/>
          <w:i/>
          <w:noProof/>
          <w:sz w:val="28"/>
        </w:rPr>
        <w:t>R4-2309051</w:t>
      </w:r>
    </w:p>
    <w:p w14:paraId="6FCABE0C" w14:textId="46E289D3" w:rsidR="003443BE" w:rsidRDefault="00072CFA" w:rsidP="003443BE">
      <w:pPr>
        <w:pStyle w:val="CRCoverPage"/>
        <w:outlineLvl w:val="0"/>
        <w:rPr>
          <w:b/>
          <w:noProof/>
          <w:sz w:val="24"/>
        </w:rPr>
      </w:pPr>
      <w:r>
        <w:rPr>
          <w:b/>
          <w:noProof/>
          <w:sz w:val="24"/>
        </w:rPr>
        <w:t>Incheon</w:t>
      </w:r>
      <w:r w:rsidR="003443BE">
        <w:rPr>
          <w:b/>
          <w:noProof/>
          <w:sz w:val="24"/>
        </w:rPr>
        <w:t xml:space="preserve">, </w:t>
      </w:r>
      <w:r>
        <w:rPr>
          <w:b/>
          <w:noProof/>
          <w:sz w:val="24"/>
        </w:rPr>
        <w:t>South Korea</w:t>
      </w:r>
      <w:r w:rsidR="003443BE">
        <w:rPr>
          <w:b/>
          <w:noProof/>
          <w:sz w:val="24"/>
        </w:rPr>
        <w:t xml:space="preserve">, </w:t>
      </w:r>
      <w:r>
        <w:rPr>
          <w:b/>
          <w:noProof/>
          <w:sz w:val="24"/>
        </w:rPr>
        <w:t>May 12 – 16,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0A9D5337" w:rsidR="003443BE" w:rsidRPr="00410371" w:rsidRDefault="00FF28E9" w:rsidP="00806E84">
            <w:pPr>
              <w:pStyle w:val="CRCoverPage"/>
              <w:spacing w:after="0"/>
              <w:rPr>
                <w:noProof/>
              </w:rPr>
            </w:pPr>
            <w:r>
              <w:rPr>
                <w:b/>
                <w:noProof/>
                <w:sz w:val="28"/>
              </w:rPr>
              <w:t>1580</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39A797F7" w:rsidR="003443BE" w:rsidRPr="00410371" w:rsidRDefault="00FE0506" w:rsidP="00806E84">
            <w:pPr>
              <w:pStyle w:val="CRCoverPage"/>
              <w:spacing w:after="0"/>
              <w:jc w:val="center"/>
              <w:rPr>
                <w:noProof/>
                <w:sz w:val="28"/>
              </w:rPr>
            </w:pPr>
            <w:r>
              <w:rPr>
                <w:b/>
                <w:noProof/>
                <w:sz w:val="28"/>
              </w:rPr>
              <w:t>17.</w:t>
            </w:r>
            <w:r w:rsidR="00DD7BF8">
              <w:rPr>
                <w:b/>
                <w:noProof/>
                <w:sz w:val="28"/>
              </w:rPr>
              <w:t>9</w:t>
            </w:r>
            <w:r>
              <w:rPr>
                <w:b/>
                <w:noProof/>
                <w:sz w:val="28"/>
              </w:rPr>
              <w:t>.0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15F0445C" w:rsidR="003443BE" w:rsidRDefault="002F2AFE" w:rsidP="00806E84">
            <w:pPr>
              <w:pStyle w:val="CRCoverPage"/>
              <w:spacing w:after="0"/>
              <w:ind w:left="100"/>
              <w:rPr>
                <w:noProof/>
              </w:rPr>
            </w:pPr>
            <w:r w:rsidRPr="002F2AFE">
              <w:t>CR to TS38.101-1 on corrections for DMRS bundling with Tx Switching</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70863982" w:rsidR="003443BE" w:rsidRDefault="002F2AFE" w:rsidP="00806E84">
            <w:pPr>
              <w:pStyle w:val="CRCoverPage"/>
              <w:spacing w:after="0"/>
              <w:ind w:left="100"/>
              <w:rPr>
                <w:noProof/>
              </w:rPr>
            </w:pPr>
            <w:r>
              <w:t>Apple</w:t>
            </w:r>
            <w:r w:rsidR="005C1D4E">
              <w:t>, Ericsson</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D4BD274" w:rsidR="003443BE" w:rsidRDefault="002F2AFE" w:rsidP="00806E84">
            <w:pPr>
              <w:pStyle w:val="CRCoverPage"/>
              <w:spacing w:after="0"/>
              <w:ind w:left="100"/>
              <w:rPr>
                <w:noProof/>
              </w:rPr>
            </w:pPr>
            <w:proofErr w:type="spellStart"/>
            <w:r w:rsidRPr="002F2AFE">
              <w:t>NR_cov_enh</w:t>
            </w:r>
            <w:proofErr w:type="spellEnd"/>
            <w:r w:rsidRPr="002F2AFE">
              <w:t>-Core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447EFB5" w:rsidR="003443BE" w:rsidRDefault="002F2AFE" w:rsidP="00806E84">
            <w:pPr>
              <w:pStyle w:val="CRCoverPage"/>
              <w:spacing w:after="0"/>
              <w:ind w:left="100"/>
              <w:rPr>
                <w:noProof/>
              </w:rPr>
            </w:pPr>
            <w:r>
              <w:rPr>
                <w:noProof/>
              </w:rPr>
              <w:t>2023-0</w:t>
            </w:r>
            <w:r w:rsidR="00FB2DEA">
              <w:rPr>
                <w:noProof/>
              </w:rPr>
              <w:t>5</w:t>
            </w:r>
            <w:r>
              <w:rPr>
                <w:noProof/>
              </w:rPr>
              <w:t>-</w:t>
            </w:r>
            <w:r w:rsidR="00FB2DEA">
              <w:rPr>
                <w:noProof/>
              </w:rPr>
              <w:t>12</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4502C55A" w:rsidR="003443BE" w:rsidRDefault="002F2AFE"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06C5D582" w:rsidR="003443BE" w:rsidRDefault="002F2AFE" w:rsidP="00806E84">
            <w:pPr>
              <w:pStyle w:val="CRCoverPage"/>
              <w:spacing w:after="0"/>
              <w:ind w:left="100"/>
              <w:rPr>
                <w:noProof/>
              </w:rPr>
            </w:pPr>
            <w:r>
              <w:t>Rel-17</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2C95C240" w:rsidR="003443BE" w:rsidRDefault="00D62E3F" w:rsidP="00806E84">
            <w:pPr>
              <w:pStyle w:val="CRCoverPage"/>
              <w:spacing w:after="0"/>
              <w:ind w:left="100"/>
              <w:rPr>
                <w:noProof/>
              </w:rPr>
            </w:pPr>
            <w:r>
              <w:rPr>
                <w:noProof/>
              </w:rPr>
              <w:t>During the RAN4 #105 meeting the applicability of DMRS bundling requirements to UEs configured for Tx switching was discussed.  The changes agreed during the meeting only concerned the Tx switching period and did not include other aspects of the Tx switching operation relevant to the applicability of DMRS bundling requirements.</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3D7AE" w14:textId="77777777" w:rsidR="003443BE" w:rsidRDefault="00D62E3F" w:rsidP="00806E84">
            <w:pPr>
              <w:pStyle w:val="CRCoverPage"/>
              <w:spacing w:after="0"/>
              <w:ind w:left="100"/>
              <w:rPr>
                <w:noProof/>
              </w:rPr>
            </w:pPr>
            <w:r>
              <w:rPr>
                <w:noProof/>
              </w:rPr>
              <w:t xml:space="preserve">Introduce the following changes to </w:t>
            </w:r>
            <w:r w:rsidRPr="00D62E3F">
              <w:rPr>
                <w:noProof/>
              </w:rPr>
              <w:t>6.4A.2.3</w:t>
            </w:r>
            <w:r>
              <w:rPr>
                <w:noProof/>
              </w:rPr>
              <w:t>:</w:t>
            </w:r>
          </w:p>
          <w:p w14:paraId="7124389F" w14:textId="77777777" w:rsidR="00D62E3F" w:rsidRDefault="00D62E3F" w:rsidP="00806E84">
            <w:pPr>
              <w:pStyle w:val="CRCoverPage"/>
              <w:spacing w:after="0"/>
              <w:ind w:left="100"/>
              <w:rPr>
                <w:noProof/>
              </w:rPr>
            </w:pPr>
            <w:r>
              <w:rPr>
                <w:noProof/>
              </w:rPr>
              <w:t>- Clarify the applicability of the requirement to UEs which support Tx switching</w:t>
            </w:r>
            <w:r w:rsidR="00122C91">
              <w:rPr>
                <w:noProof/>
              </w:rPr>
              <w:t>, support DMRS bundling, and are configured for DMRS bundling</w:t>
            </w:r>
          </w:p>
          <w:p w14:paraId="66E9C442" w14:textId="77777777" w:rsidR="00122C91" w:rsidRDefault="00122C91" w:rsidP="00806E84">
            <w:pPr>
              <w:pStyle w:val="CRCoverPage"/>
              <w:spacing w:after="0"/>
              <w:ind w:left="100"/>
              <w:rPr>
                <w:noProof/>
              </w:rPr>
            </w:pPr>
            <w:r>
              <w:rPr>
                <w:noProof/>
              </w:rPr>
              <w:t>- Preclude concurrency of transmissions during the DMRS bundling window</w:t>
            </w:r>
          </w:p>
          <w:p w14:paraId="35D50E7E" w14:textId="77777777" w:rsidR="00122C91" w:rsidRDefault="00122C91" w:rsidP="00806E84">
            <w:pPr>
              <w:pStyle w:val="CRCoverPage"/>
              <w:spacing w:after="0"/>
              <w:ind w:left="100"/>
              <w:rPr>
                <w:noProof/>
              </w:rPr>
            </w:pPr>
            <w:r>
              <w:rPr>
                <w:noProof/>
              </w:rPr>
              <w:t>- Clarify applicability to one carrier at a time</w:t>
            </w:r>
          </w:p>
          <w:p w14:paraId="5A8F7D03" w14:textId="77777777" w:rsidR="00122C91" w:rsidRDefault="00122C91" w:rsidP="00806E84">
            <w:pPr>
              <w:pStyle w:val="CRCoverPage"/>
              <w:spacing w:after="0"/>
              <w:ind w:left="100"/>
              <w:rPr>
                <w:noProof/>
              </w:rPr>
            </w:pPr>
            <w:r>
              <w:rPr>
                <w:noProof/>
              </w:rPr>
              <w:t>- Clarify applicability to one TAG</w:t>
            </w:r>
          </w:p>
          <w:p w14:paraId="1D475B87" w14:textId="25C078D4" w:rsidR="00122C91" w:rsidRDefault="00122C91" w:rsidP="00806E84">
            <w:pPr>
              <w:pStyle w:val="CRCoverPage"/>
              <w:spacing w:after="0"/>
              <w:ind w:left="100"/>
              <w:rPr>
                <w:noProof/>
              </w:rPr>
            </w:pPr>
            <w:r>
              <w:rPr>
                <w:noProof/>
              </w:rPr>
              <w:t xml:space="preserve">- </w:t>
            </w:r>
            <w:r w:rsidR="005C1D4E">
              <w:rPr>
                <w:noProof/>
              </w:rPr>
              <w:t xml:space="preserve">Clarify </w:t>
            </w:r>
            <w:r w:rsidR="005C1D4E" w:rsidRPr="005C1D4E">
              <w:rPr>
                <w:noProof/>
              </w:rPr>
              <w:t>DMRS bundling is not maintained across Tx switching period</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199A89F" w:rsidR="003443BE" w:rsidRDefault="00733F3E" w:rsidP="00806E84">
            <w:pPr>
              <w:pStyle w:val="CRCoverPage"/>
              <w:spacing w:after="0"/>
              <w:ind w:left="100"/>
              <w:rPr>
                <w:noProof/>
              </w:rPr>
            </w:pPr>
            <w:r>
              <w:rPr>
                <w:noProof/>
              </w:rPr>
              <w:t>The requirements for DMRS bundling with Tx switching are not complete.</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B7DE9FD" w:rsidR="003443BE" w:rsidRDefault="00733F3E" w:rsidP="00806E84">
            <w:pPr>
              <w:pStyle w:val="CRCoverPage"/>
              <w:spacing w:after="0"/>
              <w:ind w:left="100"/>
              <w:rPr>
                <w:noProof/>
              </w:rPr>
            </w:pPr>
            <w:r w:rsidRPr="00D62E3F">
              <w:rPr>
                <w:noProof/>
              </w:rPr>
              <w:t>6.4A.2.3</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1E118EC9" w:rsidR="003443BE" w:rsidRDefault="00787F50" w:rsidP="00806E84">
            <w:pPr>
              <w:pStyle w:val="CRCoverPage"/>
              <w:spacing w:after="0"/>
              <w:ind w:left="100"/>
              <w:rPr>
                <w:noProof/>
              </w:rPr>
            </w:pPr>
            <w:r>
              <w:rPr>
                <w:noProof/>
              </w:rPr>
              <w:t>T</w:t>
            </w:r>
            <w:r w:rsidR="00EC2F28">
              <w:rPr>
                <w:noProof/>
              </w:rPr>
              <w:t xml:space="preserve">hese changes were endorsed in a draft CR </w:t>
            </w:r>
            <w:r w:rsidR="00321AC2">
              <w:rPr>
                <w:noProof/>
              </w:rPr>
              <w:t>[</w:t>
            </w:r>
            <w:r w:rsidR="00EC2F28" w:rsidRPr="00EC2F28">
              <w:rPr>
                <w:noProof/>
              </w:rPr>
              <w:t>R4-2303690</w:t>
            </w:r>
            <w:r w:rsidR="00321AC2">
              <w:rPr>
                <w:noProof/>
              </w:rPr>
              <w:t>]</w:t>
            </w:r>
            <w:r>
              <w:rPr>
                <w:noProof/>
              </w:rPr>
              <w:t xml:space="preserve"> d</w:t>
            </w:r>
            <w:r w:rsidRPr="00787F50">
              <w:rPr>
                <w:noProof/>
              </w:rPr>
              <w:t>uring the RAN4 #106 meeting</w:t>
            </w: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3008F915" w14:textId="77777777" w:rsidR="00A1115A" w:rsidRPr="00A1115A" w:rsidRDefault="00A1115A" w:rsidP="00A1115A">
      <w:pPr>
        <w:pStyle w:val="Heading4"/>
      </w:pPr>
      <w:bookmarkStart w:id="14" w:name="_Toc21344342"/>
      <w:bookmarkStart w:id="15" w:name="_Toc29801828"/>
      <w:bookmarkStart w:id="16" w:name="_Toc29802252"/>
      <w:bookmarkStart w:id="17" w:name="_Toc29802877"/>
      <w:bookmarkStart w:id="18" w:name="_Toc36107619"/>
      <w:bookmarkStart w:id="19" w:name="_Toc37251385"/>
      <w:bookmarkStart w:id="20" w:name="_Toc45888250"/>
      <w:bookmarkStart w:id="21" w:name="_Toc45888849"/>
      <w:bookmarkStart w:id="22" w:name="_Toc61367532"/>
      <w:bookmarkStart w:id="23" w:name="_Toc61372915"/>
      <w:bookmarkStart w:id="24" w:name="_Toc68230863"/>
      <w:bookmarkStart w:id="25" w:name="_Toc69084276"/>
      <w:bookmarkStart w:id="26" w:name="_Toc75467286"/>
      <w:bookmarkStart w:id="27" w:name="_Toc76509308"/>
      <w:bookmarkStart w:id="28" w:name="_Toc76718298"/>
      <w:bookmarkStart w:id="29" w:name="_Toc83580629"/>
      <w:bookmarkStart w:id="30" w:name="_Toc84405138"/>
      <w:bookmarkStart w:id="31" w:name="_Toc84413747"/>
      <w:bookmarkEnd w:id="0"/>
      <w:bookmarkEnd w:id="1"/>
      <w:bookmarkEnd w:id="2"/>
      <w:bookmarkEnd w:id="3"/>
      <w:bookmarkEnd w:id="4"/>
      <w:bookmarkEnd w:id="5"/>
      <w:bookmarkEnd w:id="6"/>
      <w:bookmarkEnd w:id="7"/>
      <w:bookmarkEnd w:id="8"/>
      <w:bookmarkEnd w:id="9"/>
      <w:bookmarkEnd w:id="10"/>
      <w:bookmarkEnd w:id="11"/>
      <w:r w:rsidRPr="00A1115A">
        <w:t>6.4A.2.3</w:t>
      </w:r>
      <w:r w:rsidRPr="00A1115A">
        <w:tab/>
        <w:t>Transmit modulation quality for inter-band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A2C8060" w14:textId="79FDF43F" w:rsidR="00256024" w:rsidRPr="00F0764A" w:rsidRDefault="004F5DDC" w:rsidP="00256024">
      <w:pPr>
        <w:rPr>
          <w:rFonts w:eastAsia="SimSun"/>
          <w:lang w:val="en-US" w:eastAsia="zh-CN"/>
        </w:rPr>
      </w:pPr>
      <w:bookmarkStart w:id="32" w:name="_Toc45888251"/>
      <w:bookmarkStart w:id="33" w:name="_Toc45888850"/>
      <w:bookmarkStart w:id="34" w:name="_Toc61367533"/>
      <w:bookmarkStart w:id="35" w:name="_Toc61372916"/>
      <w:bookmarkStart w:id="36" w:name="_Toc68230864"/>
      <w:bookmarkStart w:id="37" w:name="_Toc69084277"/>
      <w:bookmarkStart w:id="38" w:name="_Toc75467287"/>
      <w:bookmarkStart w:id="39" w:name="_Toc76509309"/>
      <w:bookmarkStart w:id="40" w:name="_Toc76718299"/>
      <w:bookmarkStart w:id="41" w:name="_Toc83580630"/>
      <w:bookmarkStart w:id="42" w:name="_Toc84405139"/>
      <w:bookmarkStart w:id="43" w:name="_Toc84413748"/>
      <w:bookmarkStart w:id="44" w:name="_Toc21344343"/>
      <w:bookmarkStart w:id="45" w:name="_Toc29801829"/>
      <w:bookmarkStart w:id="46" w:name="_Toc29802253"/>
      <w:bookmarkStart w:id="47" w:name="_Toc29802878"/>
      <w:bookmarkStart w:id="48" w:name="_Toc36107620"/>
      <w:bookmarkStart w:id="49" w:name="_Toc37251386"/>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p>
    <w:p w14:paraId="55025903" w14:textId="1845D1B2" w:rsidR="004F5DDC" w:rsidRDefault="00256024" w:rsidP="00256024">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SimSun" w:hint="eastAsia"/>
          <w:lang w:val="en-US"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p>
    <w:p w14:paraId="561DA02B" w14:textId="77777777" w:rsidR="004F5DDC" w:rsidRDefault="004F5DDC" w:rsidP="004F5DDC">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49966C22" w14:textId="77777777" w:rsidR="004F5DDC" w:rsidRDefault="004F5DDC" w:rsidP="004F5DDC">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2ABF3E60" w14:textId="200FC82B" w:rsidR="004F5DDC" w:rsidRDefault="002B58B3" w:rsidP="004F5DDC">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xml:space="preserve">. </w:t>
      </w:r>
      <w:r w:rsidRPr="00920949">
        <w:t>For DMRS bundling [</w:t>
      </w:r>
      <w:r w:rsidRPr="00AA40DC">
        <w:rPr>
          <w:i/>
          <w:iCs/>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p>
    <w:p w14:paraId="69638315" w14:textId="77777777" w:rsidR="002B58B3" w:rsidRPr="00920949" w:rsidRDefault="002B58B3" w:rsidP="002B58B3">
      <w:pPr>
        <w:pStyle w:val="B10"/>
        <w:rPr>
          <w:noProof/>
        </w:rPr>
      </w:pPr>
      <w:r>
        <w:rPr>
          <w:noProof/>
        </w:rPr>
        <w:t>-</w:t>
      </w:r>
      <w:r>
        <w:rPr>
          <w:noProof/>
        </w:rPr>
        <w:tab/>
      </w:r>
      <w:r w:rsidRPr="00920949">
        <w:rPr>
          <w:noProof/>
        </w:rPr>
        <w:t>During DMRS bundling time window, concurrent transmissions scheduled/configured over multiple carriers [including any channels and/or signals] are not expected by UE</w:t>
      </w:r>
    </w:p>
    <w:p w14:paraId="29A8B1E5" w14:textId="77777777" w:rsidR="002B58B3" w:rsidRPr="0070091A" w:rsidRDefault="002B58B3" w:rsidP="002B58B3">
      <w:pPr>
        <w:pStyle w:val="B10"/>
        <w:rPr>
          <w:noProof/>
        </w:rPr>
      </w:pPr>
      <w:r>
        <w:rPr>
          <w:noProof/>
        </w:rPr>
        <w:t>-</w:t>
      </w:r>
      <w:r>
        <w:rPr>
          <w:noProof/>
        </w:rPr>
        <w:tab/>
      </w:r>
      <w:r w:rsidRPr="0070091A">
        <w:rPr>
          <w:noProof/>
        </w:rPr>
        <w:t>Only one band is configured with DMRS bundling at a time</w:t>
      </w:r>
    </w:p>
    <w:p w14:paraId="47BD5BEF" w14:textId="77777777" w:rsidR="002B58B3" w:rsidRDefault="002B58B3" w:rsidP="002B58B3">
      <w:pPr>
        <w:pStyle w:val="B10"/>
      </w:pPr>
      <w:r>
        <w:t>-</w:t>
      </w:r>
      <w:r>
        <w:tab/>
      </w:r>
      <w:r w:rsidRPr="0070091A">
        <w:t>All carriers are on same TAG</w:t>
      </w:r>
    </w:p>
    <w:p w14:paraId="286825DE" w14:textId="290FA84C" w:rsidR="00AD256B" w:rsidRDefault="002B58B3" w:rsidP="00AA40DC">
      <w:pPr>
        <w:rPr>
          <w:ins w:id="50" w:author="Toliy Ioffe" w:date="2023-02-08T05:57:00Z"/>
        </w:rPr>
      </w:pPr>
      <w:del w:id="51" w:author="Toliy Ioffe" w:date="2023-02-08T06:01:00Z">
        <w:r w:rsidRPr="00CE1AE9" w:rsidDel="00E435D9">
          <w:delText>Phase continuity requirement in clause 6.4.2.5 for DMRS bundling is not maintained across Tx switching period in the UL carrier configured with DMRS bundling when the capability uplinkTxSwitchingPeriod is present.</w:delText>
        </w:r>
      </w:del>
      <w:ins w:id="52" w:author="Toliy Ioffe" w:date="2023-02-08T05:55:00Z">
        <w:r w:rsidR="00AD256B">
          <w:t>W</w:t>
        </w:r>
        <w:r w:rsidR="00AD256B" w:rsidRPr="00AD256B">
          <w:t xml:space="preserve">hen the capability </w:t>
        </w:r>
        <w:proofErr w:type="spellStart"/>
        <w:r w:rsidR="00AD256B" w:rsidRPr="004F03EF">
          <w:rPr>
            <w:i/>
            <w:iCs/>
          </w:rPr>
          <w:t>uplinkTxSwitchingPeriod</w:t>
        </w:r>
        <w:proofErr w:type="spellEnd"/>
        <w:r w:rsidR="00AD256B" w:rsidRPr="00AD256B">
          <w:t xml:space="preserve"> is present</w:t>
        </w:r>
      </w:ins>
      <w:ins w:id="53" w:author="Toliy Ioffe" w:date="2023-02-16T19:11:00Z">
        <w:r w:rsidR="00D62E3F">
          <w:t xml:space="preserve">, the </w:t>
        </w:r>
        <w:r w:rsidR="00D62E3F" w:rsidRPr="00D62E3F">
          <w:t>UE indicates support of [</w:t>
        </w:r>
      </w:ins>
      <w:ins w:id="54" w:author="Toliy Ioffe" w:date="2023-03-02T16:54:00Z">
        <w:r w:rsidR="00E57D3C" w:rsidRPr="00E57D3C">
          <w:rPr>
            <w:i/>
            <w:iCs/>
          </w:rPr>
          <w:t>dmrs-BundlingPUCCH-RepPerBC-r17</w:t>
        </w:r>
      </w:ins>
      <w:ins w:id="55" w:author="Toliy Ioffe" w:date="2023-02-16T19:11:00Z">
        <w:r w:rsidR="00D62E3F" w:rsidRPr="00D62E3F">
          <w:t>]</w:t>
        </w:r>
        <w:r w:rsidR="00D62E3F">
          <w:t>,</w:t>
        </w:r>
      </w:ins>
      <w:ins w:id="56" w:author="Toliy Ioffe" w:date="2023-02-08T05:58:00Z">
        <w:r w:rsidR="00AD256B">
          <w:t xml:space="preserve"> </w:t>
        </w:r>
      </w:ins>
      <w:ins w:id="57" w:author="Toliy Ioffe" w:date="2023-02-08T05:55:00Z">
        <w:r w:rsidR="00AD256B" w:rsidRPr="00AD256B">
          <w:t xml:space="preserve">and </w:t>
        </w:r>
      </w:ins>
      <w:ins w:id="58" w:author="Toliy Ioffe" w:date="2023-02-08T05:58:00Z">
        <w:r w:rsidR="00AD256B">
          <w:t>the UE is co</w:t>
        </w:r>
      </w:ins>
      <w:ins w:id="59" w:author="Toliy Ioffe" w:date="2023-02-08T05:59:00Z">
        <w:r w:rsidR="00AD256B">
          <w:t>nfigured</w:t>
        </w:r>
      </w:ins>
      <w:ins w:id="60" w:author="Toliy Ioffe" w:date="2023-02-08T05:55:00Z">
        <w:r w:rsidR="00AD256B" w:rsidRPr="00AD256B">
          <w:t xml:space="preserve"> for uplink switching mechanisms specified in clause 6.1.6 of TS 38.214 [10]</w:t>
        </w:r>
      </w:ins>
      <w:ins w:id="61" w:author="Toliy Ioffe" w:date="2023-02-08T05:56:00Z">
        <w:r w:rsidR="00AD256B">
          <w:t>, the phase continuity requirement in clause 6.4.2.5</w:t>
        </w:r>
      </w:ins>
      <w:ins w:id="62" w:author="Toliy Ioffe" w:date="2023-02-08T05:57:00Z">
        <w:r w:rsidR="00AD256B">
          <w:t xml:space="preserve"> for DMRS bundling is applicable under the following conditions:</w:t>
        </w:r>
      </w:ins>
    </w:p>
    <w:p w14:paraId="26ADAB76" w14:textId="7B5391B9" w:rsidR="00AD256B" w:rsidRDefault="00AD256B" w:rsidP="00AD256B">
      <w:pPr>
        <w:pStyle w:val="B10"/>
        <w:rPr>
          <w:ins w:id="63" w:author="Toliy Ioffe" w:date="2023-02-08T05:59:00Z"/>
        </w:rPr>
      </w:pPr>
      <w:ins w:id="64" w:author="Toliy Ioffe" w:date="2023-02-08T05:59:00Z">
        <w:r>
          <w:t>-</w:t>
        </w:r>
        <w:r>
          <w:tab/>
          <w:t xml:space="preserve">During the DMRS bundling time window, </w:t>
        </w:r>
      </w:ins>
      <w:ins w:id="65" w:author="Toliy Ioffe" w:date="2023-02-08T06:00:00Z">
        <w:r w:rsidRPr="00920949">
          <w:rPr>
            <w:noProof/>
          </w:rPr>
          <w:t>concurrent transmissions scheduled/configured over multiple carriers</w:t>
        </w:r>
      </w:ins>
      <w:ins w:id="66" w:author="Toliy Ioffe" w:date="2023-02-16T19:06:00Z">
        <w:r w:rsidR="001A70EF">
          <w:rPr>
            <w:noProof/>
          </w:rPr>
          <w:t>,</w:t>
        </w:r>
      </w:ins>
      <w:ins w:id="67" w:author="Toliy Ioffe" w:date="2023-02-08T06:00:00Z">
        <w:r w:rsidRPr="00920949">
          <w:rPr>
            <w:noProof/>
          </w:rPr>
          <w:t xml:space="preserve"> including any channels and/or signals</w:t>
        </w:r>
      </w:ins>
      <w:ins w:id="68" w:author="Toliy Ioffe" w:date="2023-02-16T19:06:00Z">
        <w:r w:rsidR="001A70EF">
          <w:rPr>
            <w:noProof/>
          </w:rPr>
          <w:t>,</w:t>
        </w:r>
      </w:ins>
      <w:ins w:id="69" w:author="Toliy Ioffe" w:date="2023-02-08T06:00:00Z">
        <w:r w:rsidRPr="00920949">
          <w:rPr>
            <w:noProof/>
          </w:rPr>
          <w:t xml:space="preserve"> are not expected by UE</w:t>
        </w:r>
      </w:ins>
    </w:p>
    <w:p w14:paraId="662ADB6F" w14:textId="1D4FD5B8" w:rsidR="00AD256B" w:rsidRDefault="00AD256B" w:rsidP="00AD256B">
      <w:pPr>
        <w:pStyle w:val="B10"/>
        <w:rPr>
          <w:ins w:id="70" w:author="Toliy Ioffe" w:date="2023-02-08T06:01:00Z"/>
        </w:rPr>
      </w:pPr>
      <w:ins w:id="71" w:author="Toliy Ioffe" w:date="2023-02-08T05:57:00Z">
        <w:r>
          <w:t>-</w:t>
        </w:r>
        <w:r>
          <w:tab/>
        </w:r>
      </w:ins>
      <w:ins w:id="72" w:author="Toliy Ioffe" w:date="2023-02-08T05:59:00Z">
        <w:r>
          <w:t>Only one carrier is configured with DMRS bundling at a time</w:t>
        </w:r>
      </w:ins>
    </w:p>
    <w:p w14:paraId="1AC6C452" w14:textId="6C55BD55" w:rsidR="00AD256B" w:rsidRDefault="00AD256B">
      <w:pPr>
        <w:pStyle w:val="B10"/>
        <w:rPr>
          <w:ins w:id="73" w:author="Toliy Ioffe" w:date="2023-02-16T19:06:00Z"/>
        </w:rPr>
      </w:pPr>
      <w:ins w:id="74" w:author="Toliy Ioffe" w:date="2023-02-08T06:01:00Z">
        <w:r>
          <w:t>-</w:t>
        </w:r>
        <w:r>
          <w:tab/>
          <w:t>All carriers are on the same TAG</w:t>
        </w:r>
      </w:ins>
    </w:p>
    <w:p w14:paraId="304D5945" w14:textId="3700C205" w:rsidR="001A70EF" w:rsidRDefault="001A70EF" w:rsidP="004F03EF">
      <w:pPr>
        <w:pStyle w:val="B10"/>
      </w:pPr>
      <w:ins w:id="75" w:author="Toliy Ioffe" w:date="2023-02-16T19:06:00Z">
        <w:r>
          <w:t>-</w:t>
        </w:r>
        <w:r>
          <w:tab/>
        </w:r>
      </w:ins>
      <w:ins w:id="76" w:author="Toliy Ioffe" w:date="2023-03-02T15:03:00Z">
        <w:r w:rsidR="00061CDC" w:rsidRPr="00061CDC">
          <w:t>DMRS bundling is not maintained across Tx switching period in the UL carrier configured with DMRS bundling</w:t>
        </w:r>
      </w:ins>
      <w:ins w:id="77" w:author="Toliy Ioffe" w:date="2023-02-16T19:07:00Z">
        <w:r>
          <w:t xml:space="preserve"> </w:t>
        </w:r>
      </w:ins>
    </w:p>
    <w:p w14:paraId="64DD2404" w14:textId="73EF9460" w:rsidR="00D84FB3" w:rsidRDefault="002B58B3" w:rsidP="002B58B3">
      <w:pPr>
        <w:rPr>
          <w:lang w:eastAsia="zh-CN"/>
        </w:rPr>
      </w:pPr>
      <w:r>
        <w:t xml:space="preserve">For combinations of intra-band and inter-band carrier aggregation with three uplink component carriers (up to two contiguously aggregated carriers per operating band): </w:t>
      </w:r>
      <w:r w:rsidRPr="0070091A">
        <w:t xml:space="preserve">for the NR band supporting one component carrier </w:t>
      </w:r>
      <w:r>
        <w:t xml:space="preserve">the transmit modulation quality requirements specified in subclauses from 6.4.2.1 to 6.4.2.4 apply and </w:t>
      </w:r>
      <w:r w:rsidRPr="0070091A">
        <w:t>for DMRS bundling [</w:t>
      </w:r>
      <w:r w:rsidRPr="00AA40DC">
        <w:rPr>
          <w:i/>
          <w:iCs/>
        </w:rPr>
        <w:t>maxDurationDMRS-Bundling-r17</w:t>
      </w:r>
      <w:r w:rsidRPr="0070091A">
        <w:t xml:space="preserve">] the DMRS bundling requirements for inter-band carrier aggregation with uplink assigned to two NR bands </w:t>
      </w:r>
      <w:r>
        <w:t>apply. For the NR band supporting two contiguous component carriers the requirements specified in subclause 6.4A.2.1 apply.</w:t>
      </w:r>
    </w:p>
    <w:p w14:paraId="4917B1BC" w14:textId="0F6DBE97" w:rsidR="005F396E" w:rsidRDefault="005F396E" w:rsidP="005F396E">
      <w:pPr>
        <w:pStyle w:val="EditorsNote"/>
        <w:rPr>
          <w:lang w:eastAsia="zh-CN"/>
        </w:rPr>
      </w:pPr>
      <w:bookmarkStart w:id="78" w:name="_Toc45888254"/>
      <w:bookmarkStart w:id="79" w:name="_Toc45888853"/>
      <w:bookmarkStart w:id="80" w:name="_Toc61367534"/>
      <w:bookmarkStart w:id="81" w:name="_Toc61372917"/>
      <w:bookmarkStart w:id="82" w:name="_Toc68230865"/>
      <w:bookmarkStart w:id="83" w:name="_Toc69084278"/>
      <w:bookmarkStart w:id="84" w:name="_Toc75467288"/>
      <w:bookmarkStart w:id="85" w:name="_Toc76509310"/>
      <w:bookmarkStart w:id="86" w:name="_Toc76718300"/>
      <w:bookmarkStart w:id="87" w:name="_Toc83580631"/>
      <w:bookmarkStart w:id="88" w:name="_Toc84405140"/>
      <w:bookmarkStart w:id="89" w:name="_Toc84413749"/>
      <w:bookmarkEnd w:id="32"/>
      <w:bookmarkEnd w:id="33"/>
      <w:bookmarkEnd w:id="34"/>
      <w:bookmarkEnd w:id="35"/>
      <w:bookmarkEnd w:id="36"/>
      <w:bookmarkEnd w:id="37"/>
      <w:bookmarkEnd w:id="38"/>
      <w:bookmarkEnd w:id="39"/>
      <w:bookmarkEnd w:id="40"/>
      <w:bookmarkEnd w:id="41"/>
      <w:bookmarkEnd w:id="42"/>
      <w:bookmarkEnd w:id="43"/>
      <w:r>
        <w:rPr>
          <w:lang w:eastAsia="zh-CN"/>
        </w:rPr>
        <w:t>&lt;&lt;end of change&gt;&gt;</w:t>
      </w:r>
    </w:p>
    <w:bookmarkEnd w:id="12"/>
    <w:bookmarkEnd w:id="44"/>
    <w:bookmarkEnd w:id="45"/>
    <w:bookmarkEnd w:id="46"/>
    <w:bookmarkEnd w:id="47"/>
    <w:bookmarkEnd w:id="48"/>
    <w:bookmarkEnd w:id="49"/>
    <w:bookmarkEnd w:id="78"/>
    <w:bookmarkEnd w:id="79"/>
    <w:bookmarkEnd w:id="80"/>
    <w:bookmarkEnd w:id="81"/>
    <w:bookmarkEnd w:id="82"/>
    <w:bookmarkEnd w:id="83"/>
    <w:bookmarkEnd w:id="84"/>
    <w:bookmarkEnd w:id="85"/>
    <w:bookmarkEnd w:id="86"/>
    <w:bookmarkEnd w:id="87"/>
    <w:bookmarkEnd w:id="88"/>
    <w:bookmarkEnd w:id="89"/>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8430D" w14:textId="77777777" w:rsidR="00185F36" w:rsidRDefault="00185F36">
      <w:r>
        <w:separator/>
      </w:r>
    </w:p>
  </w:endnote>
  <w:endnote w:type="continuationSeparator" w:id="0">
    <w:p w14:paraId="5ED530C1" w14:textId="77777777" w:rsidR="00185F36" w:rsidRDefault="0018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294B" w14:textId="77777777" w:rsidR="00185F36" w:rsidRDefault="00185F36">
      <w:r>
        <w:separator/>
      </w:r>
    </w:p>
  </w:footnote>
  <w:footnote w:type="continuationSeparator" w:id="0">
    <w:p w14:paraId="1B7A39D1" w14:textId="77777777" w:rsidR="00185F36" w:rsidRDefault="0018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8"/>
  </w:num>
  <w:num w:numId="2" w16cid:durableId="240988415">
    <w:abstractNumId w:val="23"/>
  </w:num>
  <w:num w:numId="3" w16cid:durableId="453257850">
    <w:abstractNumId w:val="3"/>
  </w:num>
  <w:num w:numId="4" w16cid:durableId="178353229">
    <w:abstractNumId w:val="15"/>
  </w:num>
  <w:num w:numId="5" w16cid:durableId="1036273576">
    <w:abstractNumId w:val="11"/>
  </w:num>
  <w:num w:numId="6" w16cid:durableId="1961186613">
    <w:abstractNumId w:val="22"/>
  </w:num>
  <w:num w:numId="7" w16cid:durableId="1258249907">
    <w:abstractNumId w:val="24"/>
  </w:num>
  <w:num w:numId="8" w16cid:durableId="1492409735">
    <w:abstractNumId w:val="13"/>
  </w:num>
  <w:num w:numId="9" w16cid:durableId="1416705468">
    <w:abstractNumId w:val="25"/>
  </w:num>
  <w:num w:numId="10" w16cid:durableId="1409769992">
    <w:abstractNumId w:val="9"/>
  </w:num>
  <w:num w:numId="11" w16cid:durableId="671954280">
    <w:abstractNumId w:val="4"/>
  </w:num>
  <w:num w:numId="12" w16cid:durableId="397482996">
    <w:abstractNumId w:val="12"/>
  </w:num>
  <w:num w:numId="13" w16cid:durableId="656880038">
    <w:abstractNumId w:val="14"/>
  </w:num>
  <w:num w:numId="14" w16cid:durableId="682168706">
    <w:abstractNumId w:val="10"/>
  </w:num>
  <w:num w:numId="15" w16cid:durableId="340008215">
    <w:abstractNumId w:val="0"/>
  </w:num>
  <w:num w:numId="16" w16cid:durableId="262881271">
    <w:abstractNumId w:val="21"/>
  </w:num>
  <w:num w:numId="17" w16cid:durableId="1450667099">
    <w:abstractNumId w:val="6"/>
  </w:num>
  <w:num w:numId="18" w16cid:durableId="1286350926">
    <w:abstractNumId w:val="2"/>
  </w:num>
  <w:num w:numId="19" w16cid:durableId="301228898">
    <w:abstractNumId w:val="20"/>
  </w:num>
  <w:num w:numId="20" w16cid:durableId="9333857">
    <w:abstractNumId w:val="16"/>
  </w:num>
  <w:num w:numId="21" w16cid:durableId="238447131">
    <w:abstractNumId w:val="5"/>
  </w:num>
  <w:num w:numId="22" w16cid:durableId="1499033665">
    <w:abstractNumId w:val="19"/>
  </w:num>
  <w:num w:numId="23" w16cid:durableId="932320293">
    <w:abstractNumId w:val="17"/>
  </w:num>
  <w:num w:numId="24"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27"/>
  </w:num>
  <w:num w:numId="27"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13"/>
    <w:lvlOverride w:ilvl="0">
      <w:startOverride w:val="1"/>
    </w:lvlOverride>
  </w:num>
  <w:num w:numId="32"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0"/>
    <w:lvlOverride w:ilvl="0">
      <w:startOverride w:val="1"/>
    </w:lvlOverride>
  </w:num>
  <w:num w:numId="36" w16cid:durableId="1786802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7"/>
  </w:num>
  <w:num w:numId="38" w16cid:durableId="1901281876">
    <w:abstractNumId w:val="18"/>
  </w:num>
  <w:num w:numId="39" w16cid:durableId="1142115434">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216</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127</cp:revision>
  <cp:lastPrinted>2019-02-25T14:05:00Z</cp:lastPrinted>
  <dcterms:created xsi:type="dcterms:W3CDTF">2022-10-04T21:30:00Z</dcterms:created>
  <dcterms:modified xsi:type="dcterms:W3CDTF">2023-05-15T13:36:00Z</dcterms:modified>
</cp:coreProperties>
</file>